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9442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</w:rPr>
      </w:pPr>
    </w:p>
    <w:p w14:paraId="5B249C0A" w14:textId="1DEB29E2" w:rsidR="00C54A04" w:rsidRPr="00C54A04" w:rsidRDefault="00C54A04" w:rsidP="00C54A04">
      <w:pPr>
        <w:pStyle w:val="Default"/>
        <w:jc w:val="center"/>
        <w:rPr>
          <w:rFonts w:asciiTheme="minorHAnsi" w:hAnsiTheme="minorHAnsi" w:cstheme="minorHAnsi"/>
        </w:rPr>
      </w:pPr>
      <w:r w:rsidRPr="00C54A04">
        <w:rPr>
          <w:rFonts w:asciiTheme="minorHAnsi" w:hAnsiTheme="minorHAnsi" w:cstheme="minorHAnsi"/>
          <w:b/>
          <w:bCs/>
        </w:rPr>
        <w:t>POLITICA DE CONFIDENȚIALITATE ȘI</w:t>
      </w:r>
    </w:p>
    <w:p w14:paraId="26831369" w14:textId="5FA13A26" w:rsidR="00C54A04" w:rsidRPr="00C54A04" w:rsidRDefault="00C54A04" w:rsidP="00C54A0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C54A04">
        <w:rPr>
          <w:rFonts w:asciiTheme="minorHAnsi" w:hAnsiTheme="minorHAnsi" w:cstheme="minorHAnsi"/>
          <w:b/>
          <w:bCs/>
        </w:rPr>
        <w:t>PROTECȚIE A VIEȚII PRIVATE</w:t>
      </w:r>
    </w:p>
    <w:p w14:paraId="47409AB9" w14:textId="77777777" w:rsidR="00C54A04" w:rsidRPr="00C54A04" w:rsidRDefault="00C54A04" w:rsidP="00C54A04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D8C6C94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1. Termeni </w:t>
      </w:r>
    </w:p>
    <w:p w14:paraId="5F2E1D8A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73024AF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Regulamentul General privind Protecția Datelor cu Caracter Personal (RGPD) – </w:t>
      </w:r>
    </w:p>
    <w:p w14:paraId="5CFBF01D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Date cu caracter personal (DCP) </w:t>
      </w:r>
    </w:p>
    <w:p w14:paraId="48377E9F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Prelucrare - </w:t>
      </w:r>
    </w:p>
    <w:p w14:paraId="14017DCB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Restricționarea prelucrării – </w:t>
      </w:r>
    </w:p>
    <w:p w14:paraId="18439B08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Operator – </w:t>
      </w:r>
    </w:p>
    <w:p w14:paraId="749F43EA" w14:textId="147C79A9" w:rsidR="00C54A04" w:rsidRPr="00C54A04" w:rsidRDefault="00C54A04" w:rsidP="00C54A04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Autoritatea Națională de Supraveghere a Protecției Datelor cu Caracter Personal (ANSPDCP) – </w:t>
      </w:r>
    </w:p>
    <w:p w14:paraId="065402B1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FD6930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2. Introducere </w:t>
      </w:r>
    </w:p>
    <w:p w14:paraId="40B90F9C" w14:textId="77777777" w:rsidR="00C54A04" w:rsidRPr="00C54A04" w:rsidRDefault="00C54A04" w:rsidP="00C54A0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6989DDB" w14:textId="77777777" w:rsidR="00C54A04" w:rsidRPr="00C54A04" w:rsidRDefault="00C54A04" w:rsidP="00C54A0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OPERATOR, în calitatea sa de operator, prelucrează datele cu caracter personal ale clienților, angajaților, partenerilor și altor persoane care interacționează cu compania și/sau sunt antrenate în relații contractuale. </w:t>
      </w:r>
    </w:p>
    <w:p w14:paraId="77EC874A" w14:textId="77777777" w:rsidR="00C54A04" w:rsidRPr="00C54A04" w:rsidRDefault="00C54A04" w:rsidP="00C54A0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Prezenta politică descrie modul în care DCP trebuie prelucrate, în conformitate cu RGPD, principiile de prelucrare a DCP, precum și drepturile și obligațiile angajaților implicați în procesul de prelucrare a DCP. </w:t>
      </w:r>
    </w:p>
    <w:p w14:paraId="480F0C95" w14:textId="5FF7FFEA" w:rsidR="00C54A04" w:rsidRPr="00C54A04" w:rsidRDefault="00C54A04" w:rsidP="00C54A0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OPERATOR nu operează transferuri de DCP către țări terțe sau organizații internaționale. </w:t>
      </w:r>
    </w:p>
    <w:p w14:paraId="48219604" w14:textId="77777777" w:rsidR="00C54A04" w:rsidRPr="00C54A04" w:rsidRDefault="00C54A04" w:rsidP="00C54A0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4627CC9" w14:textId="77777777" w:rsidR="00C54A04" w:rsidRPr="00C54A04" w:rsidRDefault="00C54A04" w:rsidP="00C54A04">
      <w:pPr>
        <w:pStyle w:val="Default"/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3. Obiective </w:t>
      </w:r>
    </w:p>
    <w:p w14:paraId="5159D787" w14:textId="43C83756" w:rsidR="00C54A04" w:rsidRPr="00C54A04" w:rsidRDefault="00C54A04" w:rsidP="00C54A04">
      <w:pPr>
        <w:pStyle w:val="Default"/>
        <w:numPr>
          <w:ilvl w:val="0"/>
          <w:numId w:val="1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Conformitatea cu RGPD și bunele practici în materie de protecția DCP; </w:t>
      </w:r>
    </w:p>
    <w:p w14:paraId="5E5DBDD1" w14:textId="77777777" w:rsidR="00C54A04" w:rsidRPr="00C54A04" w:rsidRDefault="00C54A04" w:rsidP="00C54A04">
      <w:pPr>
        <w:pStyle w:val="Default"/>
        <w:numPr>
          <w:ilvl w:val="0"/>
          <w:numId w:val="1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>Protecția drepturilor persoanelor vizate (clienților, angajaților, partenerilor etc);</w:t>
      </w:r>
    </w:p>
    <w:p w14:paraId="40161851" w14:textId="77777777" w:rsidR="00C54A04" w:rsidRPr="00C54A04" w:rsidRDefault="00C54A04" w:rsidP="00C54A04">
      <w:pPr>
        <w:pStyle w:val="Default"/>
        <w:numPr>
          <w:ilvl w:val="0"/>
          <w:numId w:val="1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Transparența privind modul în care sunt protejate DCP; </w:t>
      </w:r>
    </w:p>
    <w:p w14:paraId="46B5A939" w14:textId="6F3785D4" w:rsidR="00C54A04" w:rsidRPr="00C54A04" w:rsidRDefault="00C54A04" w:rsidP="00C54A04">
      <w:pPr>
        <w:pStyle w:val="Default"/>
        <w:numPr>
          <w:ilvl w:val="0"/>
          <w:numId w:val="1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Protecția împotriva riscurilor de încălcare a securității DCP. </w:t>
      </w:r>
    </w:p>
    <w:p w14:paraId="4229D024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22C626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4. Aplicabilitate </w:t>
      </w:r>
    </w:p>
    <w:p w14:paraId="26188E2D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131D2E" w14:textId="2AAFB079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Prezenta politică se aplică: </w:t>
      </w:r>
    </w:p>
    <w:p w14:paraId="3111CBA7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C4C3" w14:textId="77777777" w:rsidR="00C54A04" w:rsidRPr="00C54A04" w:rsidRDefault="00C54A04" w:rsidP="00C54A04">
      <w:pPr>
        <w:pStyle w:val="Default"/>
        <w:numPr>
          <w:ilvl w:val="0"/>
          <w:numId w:val="2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Conducerii OPERATOR; </w:t>
      </w:r>
    </w:p>
    <w:p w14:paraId="4632570A" w14:textId="77777777" w:rsidR="00C54A04" w:rsidRPr="00C54A04" w:rsidRDefault="00C54A04" w:rsidP="00C54A04">
      <w:pPr>
        <w:pStyle w:val="Default"/>
        <w:numPr>
          <w:ilvl w:val="0"/>
          <w:numId w:val="2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Tuturor angajaților OPERATOR; </w:t>
      </w:r>
    </w:p>
    <w:p w14:paraId="46AD48D0" w14:textId="77777777" w:rsidR="00C54A04" w:rsidRPr="00C54A04" w:rsidRDefault="00C54A04" w:rsidP="00C54A04">
      <w:pPr>
        <w:pStyle w:val="Default"/>
        <w:numPr>
          <w:ilvl w:val="0"/>
          <w:numId w:val="2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>Voluntarilor și persoanelor ce își desfășoară stagiul de practică în cadrul OPERATOR;</w:t>
      </w:r>
    </w:p>
    <w:p w14:paraId="1DC327E0" w14:textId="00CF3306" w:rsidR="00C54A04" w:rsidRPr="00C54A04" w:rsidRDefault="00C54A04" w:rsidP="00C54A04">
      <w:pPr>
        <w:pStyle w:val="Default"/>
        <w:numPr>
          <w:ilvl w:val="0"/>
          <w:numId w:val="2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Tuturor persoanelor cu care OPERATOR se află în relații contractuale. </w:t>
      </w:r>
    </w:p>
    <w:p w14:paraId="27E53064" w14:textId="1E7E438C" w:rsidR="00C54A04" w:rsidRPr="00C54A04" w:rsidRDefault="00C54A04" w:rsidP="00C54A04">
      <w:pPr>
        <w:pStyle w:val="Default"/>
        <w:spacing w:after="77"/>
        <w:rPr>
          <w:rFonts w:asciiTheme="minorHAnsi" w:hAnsiTheme="minorHAnsi" w:cstheme="minorHAnsi"/>
          <w:sz w:val="22"/>
          <w:szCs w:val="22"/>
        </w:rPr>
      </w:pPr>
    </w:p>
    <w:p w14:paraId="6CF22152" w14:textId="77777777" w:rsidR="00C54A04" w:rsidRPr="00C54A04" w:rsidRDefault="00C54A04" w:rsidP="00C54A04">
      <w:pPr>
        <w:pStyle w:val="Default"/>
        <w:spacing w:after="77"/>
        <w:rPr>
          <w:rFonts w:asciiTheme="minorHAnsi" w:hAnsiTheme="minorHAnsi" w:cstheme="minorHAnsi"/>
          <w:sz w:val="22"/>
          <w:szCs w:val="22"/>
        </w:rPr>
      </w:pPr>
    </w:p>
    <w:p w14:paraId="62DD71CC" w14:textId="6C5FFFAC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9E06651" w14:textId="70C1FC94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039AB9" w14:textId="6E5386D8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1568EBEE" w14:textId="752FCCD2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D17971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4638C81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5. Principii de prelucrare a datelor cu caracter personal </w:t>
      </w:r>
    </w:p>
    <w:p w14:paraId="5A121232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250E022" w14:textId="1FF5259D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Datele cu caracter personal sunt: </w:t>
      </w:r>
    </w:p>
    <w:p w14:paraId="1AB0B99A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5B8E0B" w14:textId="77777777" w:rsidR="00C54A04" w:rsidRPr="00C54A04" w:rsidRDefault="00C54A04" w:rsidP="00C54A04">
      <w:pPr>
        <w:pStyle w:val="Default"/>
        <w:numPr>
          <w:ilvl w:val="0"/>
          <w:numId w:val="3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Prelucrate în mod legal, echitabil și transparent față de persoana vizată; </w:t>
      </w:r>
    </w:p>
    <w:p w14:paraId="380CD3FE" w14:textId="77777777" w:rsidR="00C54A04" w:rsidRPr="00C54A04" w:rsidRDefault="00C54A04" w:rsidP="00C54A04">
      <w:pPr>
        <w:pStyle w:val="Default"/>
        <w:numPr>
          <w:ilvl w:val="0"/>
          <w:numId w:val="3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 Colectate în scopuri determinate, explicite și legitime și nu sunt prelucrate ulterior într-un mod incompatibil cu aceste scopuri; </w:t>
      </w:r>
    </w:p>
    <w:p w14:paraId="67B27468" w14:textId="77777777" w:rsidR="00C54A04" w:rsidRPr="00C54A04" w:rsidRDefault="00C54A04" w:rsidP="00C54A04">
      <w:pPr>
        <w:pStyle w:val="Default"/>
        <w:numPr>
          <w:ilvl w:val="0"/>
          <w:numId w:val="3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Adecvate, relevante și limitate la ceea ce este necesar în raport cu scopurile în care sunt prelucrate; </w:t>
      </w:r>
    </w:p>
    <w:p w14:paraId="02750E2A" w14:textId="77777777" w:rsidR="00C54A04" w:rsidRPr="00C54A04" w:rsidRDefault="00C54A04" w:rsidP="00C54A04">
      <w:pPr>
        <w:pStyle w:val="Default"/>
        <w:numPr>
          <w:ilvl w:val="0"/>
          <w:numId w:val="3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Exacte și actualizate în termen; </w:t>
      </w:r>
    </w:p>
    <w:p w14:paraId="1938E802" w14:textId="77777777" w:rsidR="00C54A04" w:rsidRPr="00C54A04" w:rsidRDefault="00C54A04" w:rsidP="00C54A04">
      <w:pPr>
        <w:pStyle w:val="Default"/>
        <w:numPr>
          <w:ilvl w:val="0"/>
          <w:numId w:val="3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Păstrate într-o formă care permite identificarea persoanelor vizate pe o perioadă care nu depășește perioada necesară îndeplinirii scopurilor în care sunt prelucrate datele; </w:t>
      </w:r>
    </w:p>
    <w:p w14:paraId="46A8A4EF" w14:textId="1C8E46A5" w:rsidR="00C54A04" w:rsidRPr="00C54A04" w:rsidRDefault="00C54A04" w:rsidP="00C54A04">
      <w:pPr>
        <w:pStyle w:val="Default"/>
        <w:numPr>
          <w:ilvl w:val="0"/>
          <w:numId w:val="3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 Prelucrate într-un mod care asigură securitatea adecvată a datelor cu caracter personal, inclusiv protecția împotriva prelucrării neautorizate sau ilegale și împotriva pierderii, a distrugerii sau a deteriorării accidentale, prin luarea de măsuri tehnice sau organizatorice corespunzătoare. </w:t>
      </w:r>
    </w:p>
    <w:p w14:paraId="4ECC410F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E8CD4B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6. Tipuri de date cu caracter personal prelucrate </w:t>
      </w:r>
    </w:p>
    <w:p w14:paraId="5A187EDA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8C74B68" w14:textId="372953D1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OPERATOR prelucrează, în principal, dar fără a se limita la, următoarele tipuri de date: </w:t>
      </w:r>
    </w:p>
    <w:p w14:paraId="47815084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2AEDD22" w14:textId="77777777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Nume </w:t>
      </w:r>
    </w:p>
    <w:p w14:paraId="23B946C4" w14:textId="77777777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Prenume </w:t>
      </w:r>
    </w:p>
    <w:p w14:paraId="55BBA710" w14:textId="77777777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Data și anul nașterii </w:t>
      </w:r>
    </w:p>
    <w:p w14:paraId="0E899005" w14:textId="77777777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E-mail </w:t>
      </w:r>
    </w:p>
    <w:p w14:paraId="31453030" w14:textId="77777777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Adresă </w:t>
      </w:r>
    </w:p>
    <w:p w14:paraId="36B9CB88" w14:textId="77777777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Număr de telefon </w:t>
      </w:r>
    </w:p>
    <w:p w14:paraId="2340B4E8" w14:textId="77777777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CNP </w:t>
      </w:r>
    </w:p>
    <w:p w14:paraId="2CB6CA61" w14:textId="61D42949" w:rsidR="00C54A04" w:rsidRPr="00C54A04" w:rsidRDefault="00C54A04" w:rsidP="00C54A04">
      <w:pPr>
        <w:pStyle w:val="Default"/>
        <w:numPr>
          <w:ilvl w:val="0"/>
          <w:numId w:val="4"/>
        </w:numPr>
        <w:spacing w:after="81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Serie și număr Buletin de identitate </w:t>
      </w:r>
    </w:p>
    <w:p w14:paraId="7B7EBB2F" w14:textId="4713C404" w:rsidR="00C54A04" w:rsidRPr="00C54A04" w:rsidRDefault="00C54A04" w:rsidP="00C54A04">
      <w:pPr>
        <w:pStyle w:val="Default"/>
        <w:spacing w:after="81"/>
        <w:rPr>
          <w:rFonts w:asciiTheme="minorHAnsi" w:hAnsiTheme="minorHAnsi" w:cstheme="minorHAnsi"/>
          <w:sz w:val="22"/>
          <w:szCs w:val="22"/>
        </w:rPr>
      </w:pPr>
    </w:p>
    <w:p w14:paraId="47DFF302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7. Temeiul juridic al prelucrării </w:t>
      </w:r>
    </w:p>
    <w:p w14:paraId="757A7428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23C073F" w14:textId="3A814074" w:rsidR="00C54A04" w:rsidRPr="00C54A04" w:rsidRDefault="00C54A04" w:rsidP="00C54A0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În principal, la nivelul OPERATOR, se realizează operațiuni de prelucrare a datelor cu caracter personal a clienților și angajaților. Prelucrarea datelor cu caracter personal ale clienților are a baza executarea contractului de închiriere (autoturisme) încheiat cu persoane fizice și juridice. Aceasta impune, printre altele, primirea și transmiterea amenzilor primite în străinătate. </w:t>
      </w:r>
    </w:p>
    <w:p w14:paraId="03EEF919" w14:textId="77777777" w:rsidR="00C54A04" w:rsidRPr="00C54A04" w:rsidRDefault="00C54A04" w:rsidP="00C54A0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Prelucrarea datelor angajaților are loc în baza obligațiilor legale stabilite în legislația muncii. Astfel că, în vederea angajării și a desfășurării ulterioare a relațiilor de muncă se folosesc: CV, CIM, Fișa postului, Dosar angajare (cazier, permis de conducere, certificat de naștere, diplomă de BAC), Fluturași de salariu, Tichete de masă, foi de parcurs, Ordine de deplasare, platforma de recrutare OLX. </w:t>
      </w:r>
    </w:p>
    <w:p w14:paraId="20BF9705" w14:textId="77777777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lastRenderedPageBreak/>
        <w:t>În scop de marketing, OPERATOR prelucrează datele cu caracter personal prin intermediul site-ului ______________.</w:t>
      </w:r>
    </w:p>
    <w:p w14:paraId="3FB627C3" w14:textId="77777777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F0769A" w14:textId="77777777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D6D548" w14:textId="4B02E4CF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 De asemenea, OPERATOR are o pagină pe platforma Facebook. </w:t>
      </w:r>
    </w:p>
    <w:p w14:paraId="4910C47F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9C0CA2E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8. Responsabilități </w:t>
      </w:r>
    </w:p>
    <w:p w14:paraId="641901D4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CABE240" w14:textId="77777777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>Fiecare angajat al OPERATOR este responsabil, în conformitate cu atribuțiile sale, de protecția DCP. Mai mult decât atât, următoarele persoane comportă atribuții specifice:</w:t>
      </w:r>
    </w:p>
    <w:p w14:paraId="2E681EEC" w14:textId="234F1A2C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1348F0" w14:textId="77777777" w:rsidR="00C54A04" w:rsidRDefault="00C54A04" w:rsidP="00C54A04">
      <w:pPr>
        <w:pStyle w:val="Default"/>
        <w:numPr>
          <w:ilvl w:val="0"/>
          <w:numId w:val="5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Conducerea </w:t>
      </w:r>
      <w:r w:rsidRPr="00C54A04">
        <w:rPr>
          <w:rFonts w:asciiTheme="minorHAnsi" w:hAnsiTheme="minorHAnsi" w:cstheme="minorHAnsi"/>
          <w:sz w:val="22"/>
          <w:szCs w:val="22"/>
        </w:rPr>
        <w:t xml:space="preserve">– este responsabilă pentru asigurarea faptului că OPERATOR îndeplinește obligațiile în ceea ce privește protecția datelor cu caracter personal prevăzute de RGPD. </w:t>
      </w:r>
    </w:p>
    <w:p w14:paraId="52888FA7" w14:textId="2A487092" w:rsidR="00C54A04" w:rsidRPr="00C54A04" w:rsidRDefault="00C54A04" w:rsidP="00C54A04">
      <w:pPr>
        <w:pStyle w:val="Default"/>
        <w:numPr>
          <w:ilvl w:val="0"/>
          <w:numId w:val="5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Persoana cu atribuții în domeniul protecției datelor </w:t>
      </w:r>
      <w:r w:rsidRPr="00C54A04">
        <w:rPr>
          <w:rFonts w:asciiTheme="minorHAnsi" w:hAnsiTheme="minorHAnsi" w:cstheme="minorHAnsi"/>
          <w:sz w:val="22"/>
          <w:szCs w:val="22"/>
        </w:rPr>
        <w:t xml:space="preserve">are următoarele sarcini: </w:t>
      </w:r>
    </w:p>
    <w:p w14:paraId="5BFBDDD9" w14:textId="77777777" w:rsidR="00C54A04" w:rsidRPr="00C54A04" w:rsidRDefault="00C54A04" w:rsidP="00C54A04">
      <w:pPr>
        <w:pStyle w:val="Default"/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- Informarea și consilierea operatorului precum și a angajaților care se ocupă de prelucrare cu privire la obligațiile care le revin în temeiul RGPD </w:t>
      </w:r>
    </w:p>
    <w:p w14:paraId="687AA20D" w14:textId="77777777" w:rsidR="00C54A04" w:rsidRPr="00C54A04" w:rsidRDefault="00C54A04" w:rsidP="00C54A04">
      <w:pPr>
        <w:pStyle w:val="Default"/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- Informarea în timp util a Conducerii privind toate aspectele ce țin de protecția datelor (de ex: riscuri); </w:t>
      </w:r>
    </w:p>
    <w:p w14:paraId="43A7ACDB" w14:textId="77777777" w:rsidR="00C54A04" w:rsidRPr="00C54A04" w:rsidRDefault="00C54A04" w:rsidP="00C54A04">
      <w:pPr>
        <w:pStyle w:val="Default"/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- Actualizarea periodică a procedurilor și politicilor de protecție a DCP; </w:t>
      </w:r>
    </w:p>
    <w:p w14:paraId="129F2920" w14:textId="77777777" w:rsidR="00C54A04" w:rsidRPr="00C54A04" w:rsidRDefault="00C54A04" w:rsidP="00C54A04">
      <w:pPr>
        <w:pStyle w:val="Default"/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- Inițierea și monitorizarea instruirii angajaților în domeniul protecției DCP; </w:t>
      </w:r>
    </w:p>
    <w:p w14:paraId="7EF962C0" w14:textId="77777777" w:rsidR="00C54A04" w:rsidRPr="00C54A04" w:rsidRDefault="00C54A04" w:rsidP="00C54A04">
      <w:pPr>
        <w:pStyle w:val="Default"/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- Furnizarea de consiliere la cerere în ceea ce privește evaluarea impactului asupra protecției datelor și monitorizarea funcționării acesteia; </w:t>
      </w:r>
    </w:p>
    <w:p w14:paraId="404E4D72" w14:textId="77777777" w:rsidR="00C54A04" w:rsidRPr="00C54A04" w:rsidRDefault="00C54A04" w:rsidP="00C54A04">
      <w:pPr>
        <w:pStyle w:val="Default"/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- Cooperarea cu ANSPDCP; punct de contact privind aspectele legate de prelucrare; </w:t>
      </w:r>
    </w:p>
    <w:p w14:paraId="16FDE542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- Soluționarea cererilor persoanelor vizate, atunci când acestea se referă la exercitarea unui drept prevăzut de RGPD. </w:t>
      </w:r>
    </w:p>
    <w:p w14:paraId="34816EF6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265949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9. Drepturile persoanei vizate ȘI MODALITATEA DE EXERCITARE A ACESTOR DREPTURI </w:t>
      </w:r>
    </w:p>
    <w:p w14:paraId="1C3C04C3" w14:textId="648AAB55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8F6C01" w14:textId="5D9B3E8F" w:rsidR="00C54A04" w:rsidRPr="00C54A04" w:rsidRDefault="00C54A04" w:rsidP="00C54A04">
      <w:pPr>
        <w:tabs>
          <w:tab w:val="left" w:pos="1950"/>
        </w:tabs>
        <w:rPr>
          <w:rFonts w:cstheme="minorHAnsi"/>
        </w:rPr>
      </w:pPr>
      <w:r w:rsidRPr="00C54A04">
        <w:rPr>
          <w:rFonts w:cstheme="minorHAnsi"/>
        </w:rPr>
        <w:t xml:space="preserve">Orice persoană vizată își poate exercita următoarele drepturi, așa cum sunt prevăzute de către RGPD: </w:t>
      </w:r>
    </w:p>
    <w:p w14:paraId="4BBAC3C7" w14:textId="77777777" w:rsidR="00C54A04" w:rsidRDefault="00C54A04" w:rsidP="00C54A04">
      <w:pPr>
        <w:pStyle w:val="Default"/>
        <w:numPr>
          <w:ilvl w:val="0"/>
          <w:numId w:val="6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Dreptul de acces </w:t>
      </w:r>
    </w:p>
    <w:p w14:paraId="14EEEC48" w14:textId="77777777" w:rsidR="00C54A04" w:rsidRDefault="00C54A04" w:rsidP="00C54A04">
      <w:pPr>
        <w:pStyle w:val="Default"/>
        <w:numPr>
          <w:ilvl w:val="0"/>
          <w:numId w:val="6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>Dreptul de rectificare</w:t>
      </w:r>
    </w:p>
    <w:p w14:paraId="075E1AE9" w14:textId="77777777" w:rsidR="00C54A04" w:rsidRDefault="00C54A04" w:rsidP="00C54A04">
      <w:pPr>
        <w:pStyle w:val="Default"/>
        <w:numPr>
          <w:ilvl w:val="0"/>
          <w:numId w:val="6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Dreptul la ștergere </w:t>
      </w:r>
    </w:p>
    <w:p w14:paraId="2E8C4AB8" w14:textId="347F0135" w:rsidR="00C54A04" w:rsidRDefault="00C54A04" w:rsidP="00C54A04">
      <w:pPr>
        <w:pStyle w:val="Default"/>
        <w:numPr>
          <w:ilvl w:val="0"/>
          <w:numId w:val="6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Dreptul la restricționarea prelucrării </w:t>
      </w:r>
    </w:p>
    <w:p w14:paraId="46C0A159" w14:textId="77777777" w:rsidR="00C54A04" w:rsidRDefault="00C54A04" w:rsidP="00C54A04">
      <w:pPr>
        <w:pStyle w:val="Default"/>
        <w:numPr>
          <w:ilvl w:val="0"/>
          <w:numId w:val="6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Dreptul la portabilitate </w:t>
      </w:r>
    </w:p>
    <w:p w14:paraId="1DDC8F4E" w14:textId="77777777" w:rsidR="00C54A04" w:rsidRDefault="00C54A04" w:rsidP="00C54A04">
      <w:pPr>
        <w:pStyle w:val="Default"/>
        <w:numPr>
          <w:ilvl w:val="0"/>
          <w:numId w:val="6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Dreptul la opoziție a prelucrării </w:t>
      </w:r>
    </w:p>
    <w:p w14:paraId="71DA806A" w14:textId="3A8866CD" w:rsidR="00C54A04" w:rsidRPr="00C54A04" w:rsidRDefault="00C54A04" w:rsidP="00C54A04">
      <w:pPr>
        <w:pStyle w:val="Default"/>
        <w:numPr>
          <w:ilvl w:val="0"/>
          <w:numId w:val="6"/>
        </w:numPr>
        <w:spacing w:after="77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Dreptul de a nu face obiectul unei decizii bazate exclusiv pe prelucrarea automată, inclusiv crearea de profiluri </w:t>
      </w:r>
    </w:p>
    <w:p w14:paraId="667D44D0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EC5C563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b/>
          <w:bCs/>
          <w:sz w:val="22"/>
          <w:szCs w:val="22"/>
        </w:rPr>
        <w:t xml:space="preserve">10. Transparența informațiilor </w:t>
      </w:r>
    </w:p>
    <w:p w14:paraId="34326166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CF5868" w14:textId="31726C18" w:rsid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OPERATOR urmărește scopul ca toate persoanele vizate să fie informate despre faptul că DCP ale acestora sunt prelucrate și că acestea sunt conștiente de: </w:t>
      </w:r>
    </w:p>
    <w:p w14:paraId="0DA99682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9B5B20" w14:textId="77777777" w:rsidR="00C54A04" w:rsidRDefault="00C54A04" w:rsidP="00C54A04">
      <w:pPr>
        <w:pStyle w:val="Default"/>
        <w:numPr>
          <w:ilvl w:val="0"/>
          <w:numId w:val="7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Modul și tipul de date prelucrate; </w:t>
      </w:r>
    </w:p>
    <w:p w14:paraId="65C3171A" w14:textId="77777777" w:rsidR="00C54A04" w:rsidRDefault="00C54A04" w:rsidP="00C54A04">
      <w:pPr>
        <w:pStyle w:val="Default"/>
        <w:numPr>
          <w:ilvl w:val="0"/>
          <w:numId w:val="7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Scopurile prelucrării: </w:t>
      </w:r>
    </w:p>
    <w:p w14:paraId="1014AECD" w14:textId="40BE7609" w:rsidR="00C54A04" w:rsidRPr="00C54A04" w:rsidRDefault="00C54A04" w:rsidP="00C54A04">
      <w:pPr>
        <w:pStyle w:val="Default"/>
        <w:numPr>
          <w:ilvl w:val="0"/>
          <w:numId w:val="7"/>
        </w:numPr>
        <w:spacing w:after="78"/>
        <w:rPr>
          <w:rFonts w:asciiTheme="minorHAnsi" w:hAnsiTheme="minorHAnsi" w:cstheme="minorHAnsi"/>
          <w:sz w:val="22"/>
          <w:szCs w:val="22"/>
        </w:rPr>
      </w:pPr>
      <w:r w:rsidRPr="00C54A04">
        <w:rPr>
          <w:rFonts w:asciiTheme="minorHAnsi" w:hAnsiTheme="minorHAnsi" w:cstheme="minorHAnsi"/>
          <w:sz w:val="22"/>
          <w:szCs w:val="22"/>
        </w:rPr>
        <w:t xml:space="preserve">Modul de exercitare a drepturilor în legătură cu prelucrarea. </w:t>
      </w:r>
    </w:p>
    <w:p w14:paraId="04829AC2" w14:textId="77777777" w:rsidR="00C54A04" w:rsidRPr="00C54A04" w:rsidRDefault="00C54A04" w:rsidP="00C54A0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9F33CBE" w14:textId="2177C55E" w:rsidR="00BB561F" w:rsidRPr="00C54A04" w:rsidRDefault="00C54A04" w:rsidP="00C54A04">
      <w:pPr>
        <w:ind w:firstLine="360"/>
        <w:jc w:val="both"/>
        <w:rPr>
          <w:rFonts w:cstheme="minorHAnsi"/>
        </w:rPr>
      </w:pPr>
      <w:r w:rsidRPr="00C54A04">
        <w:rPr>
          <w:rFonts w:cstheme="minorHAnsi"/>
        </w:rPr>
        <w:t>În acest sens, precum și în vederea respectării obligațiilor prevăzute de RGPD, OPERATOR a desemnat o persoană cu atribuții în domeniul protecției datelor, care poate fi contactată la adresa de e-mail: ............................</w:t>
      </w:r>
    </w:p>
    <w:sectPr w:rsidR="00BB561F" w:rsidRPr="00C54A04" w:rsidSect="00C54A04">
      <w:headerReference w:type="default" r:id="rId7"/>
      <w:footerReference w:type="default" r:id="rId8"/>
      <w:pgSz w:w="12240" w:h="15840"/>
      <w:pgMar w:top="1440" w:right="1440" w:bottom="144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2647E" w14:textId="77777777" w:rsidR="00C54A04" w:rsidRDefault="00C54A04" w:rsidP="00C54A04">
      <w:pPr>
        <w:spacing w:after="0" w:line="240" w:lineRule="auto"/>
      </w:pPr>
      <w:r>
        <w:separator/>
      </w:r>
    </w:p>
  </w:endnote>
  <w:endnote w:type="continuationSeparator" w:id="0">
    <w:p w14:paraId="28745209" w14:textId="77777777" w:rsidR="00C54A04" w:rsidRDefault="00C54A04" w:rsidP="00C5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BBB76" w14:textId="453BFB09" w:rsidR="00C54A04" w:rsidRPr="006B4923" w:rsidRDefault="00C54A04" w:rsidP="00C54A04">
    <w:pPr>
      <w:jc w:val="both"/>
      <w:rPr>
        <w:b/>
        <w:bCs/>
        <w:color w:val="FF0000"/>
        <w:sz w:val="16"/>
        <w:szCs w:val="16"/>
      </w:rPr>
    </w:pPr>
    <w:bookmarkStart w:id="1" w:name="_Hlk12015529"/>
    <w:r w:rsidRPr="006B4923">
      <w:rPr>
        <w:b/>
        <w:bCs/>
        <w:color w:val="FF0000"/>
        <w:sz w:val="16"/>
        <w:szCs w:val="16"/>
      </w:rPr>
      <w:t xml:space="preserve">Acest document reprezintă proprietatea intelectuală a </w:t>
    </w:r>
    <w:proofErr w:type="spellStart"/>
    <w:r w:rsidRPr="006B4923">
      <w:rPr>
        <w:b/>
        <w:bCs/>
        <w:color w:val="FF0000"/>
        <w:sz w:val="16"/>
        <w:szCs w:val="16"/>
      </w:rPr>
      <w:t>Amplusnet</w:t>
    </w:r>
    <w:proofErr w:type="spellEnd"/>
    <w:r w:rsidRPr="006B4923">
      <w:rPr>
        <w:b/>
        <w:bCs/>
        <w:color w:val="FF0000"/>
        <w:sz w:val="16"/>
        <w:szCs w:val="16"/>
      </w:rPr>
      <w:t xml:space="preserve"> SRL </w:t>
    </w:r>
    <w:r>
      <w:rPr>
        <w:b/>
        <w:bCs/>
        <w:color w:val="FF0000"/>
        <w:sz w:val="16"/>
        <w:szCs w:val="16"/>
      </w:rPr>
      <w:t xml:space="preserve">(cunoscută cu denumirea comercială de GDPR Complet) </w:t>
    </w:r>
    <w:r w:rsidRPr="006B4923">
      <w:rPr>
        <w:b/>
        <w:bCs/>
        <w:color w:val="FF0000"/>
        <w:sz w:val="16"/>
        <w:szCs w:val="16"/>
      </w:rPr>
      <w:t xml:space="preserve">și </w:t>
    </w:r>
    <w:proofErr w:type="spellStart"/>
    <w:r w:rsidRPr="006B4923">
      <w:rPr>
        <w:b/>
        <w:bCs/>
        <w:color w:val="FF0000"/>
        <w:sz w:val="16"/>
        <w:szCs w:val="16"/>
      </w:rPr>
      <w:t>Amplusnet</w:t>
    </w:r>
    <w:proofErr w:type="spellEnd"/>
    <w:r w:rsidRPr="006B4923">
      <w:rPr>
        <w:b/>
        <w:bCs/>
        <w:color w:val="FF0000"/>
        <w:sz w:val="16"/>
        <w:szCs w:val="16"/>
      </w:rPr>
      <w:t xml:space="preserve"> își păstrează toate drepturile de proprietatea asupra lor</w:t>
    </w:r>
    <w:r w:rsidR="006B26A5">
      <w:rPr>
        <w:b/>
        <w:bCs/>
        <w:color w:val="FF0000"/>
        <w:sz w:val="16"/>
        <w:szCs w:val="16"/>
      </w:rPr>
      <w:t xml:space="preserve">. </w:t>
    </w:r>
    <w:r w:rsidRPr="006B4923">
      <w:rPr>
        <w:b/>
        <w:bCs/>
        <w:color w:val="FF0000"/>
        <w:sz w:val="16"/>
        <w:szCs w:val="16"/>
      </w:rPr>
      <w:t>Clientului nu îi este permisă copierea, distribuirea, publicarea, transferul către terțe părți, modificarea și/sau altfel alterarea, utilizarea, expunerea, includerea oricărui conținut în orice alt context decât cel original intenționat de GDPR Complet.</w:t>
    </w:r>
  </w:p>
  <w:bookmarkEnd w:id="1"/>
  <w:p w14:paraId="3B101A4D" w14:textId="77777777" w:rsidR="00C54A04" w:rsidRDefault="00C5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7FA31" w14:textId="77777777" w:rsidR="00C54A04" w:rsidRDefault="00C54A04" w:rsidP="00C54A04">
      <w:pPr>
        <w:spacing w:after="0" w:line="240" w:lineRule="auto"/>
      </w:pPr>
      <w:r>
        <w:separator/>
      </w:r>
    </w:p>
  </w:footnote>
  <w:footnote w:type="continuationSeparator" w:id="0">
    <w:p w14:paraId="2FC3897E" w14:textId="77777777" w:rsidR="00C54A04" w:rsidRDefault="00C54A04" w:rsidP="00C5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102BF" w14:textId="77777777" w:rsidR="00C54A04" w:rsidRDefault="00C54A04" w:rsidP="00C54A04">
    <w:pPr>
      <w:pStyle w:val="Header"/>
    </w:pPr>
    <w:r>
      <w:rPr>
        <w:noProof/>
        <w:lang w:val="en-US"/>
      </w:rPr>
      <w:drawing>
        <wp:inline distT="0" distB="0" distL="0" distR="0" wp14:anchorId="55132224" wp14:editId="5A11A73A">
          <wp:extent cx="3438525" cy="779399"/>
          <wp:effectExtent l="0" t="0" r="0" b="190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5481" cy="785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66FA">
      <w:rPr>
        <w:b/>
        <w:bCs/>
        <w:color w:val="FF0000"/>
        <w:sz w:val="18"/>
        <w:szCs w:val="18"/>
      </w:rPr>
      <w:t>înlocuiește logo-</w:t>
    </w:r>
    <w:proofErr w:type="spellStart"/>
    <w:r w:rsidRPr="000E66FA">
      <w:rPr>
        <w:b/>
        <w:bCs/>
        <w:color w:val="FF0000"/>
        <w:sz w:val="18"/>
        <w:szCs w:val="18"/>
      </w:rPr>
      <w:t>ul</w:t>
    </w:r>
    <w:proofErr w:type="spellEnd"/>
    <w:r w:rsidRPr="000E66FA">
      <w:rPr>
        <w:b/>
        <w:bCs/>
        <w:color w:val="FF0000"/>
        <w:sz w:val="18"/>
        <w:szCs w:val="18"/>
      </w:rPr>
      <w:t xml:space="preserve"> GDPR Complet cu antetul tău.</w:t>
    </w:r>
  </w:p>
  <w:p w14:paraId="143AD814" w14:textId="77777777" w:rsidR="00C54A04" w:rsidRDefault="00C54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93EC8"/>
    <w:multiLevelType w:val="hybridMultilevel"/>
    <w:tmpl w:val="97365C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49CB"/>
    <w:multiLevelType w:val="hybridMultilevel"/>
    <w:tmpl w:val="62CCAA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B2261"/>
    <w:multiLevelType w:val="hybridMultilevel"/>
    <w:tmpl w:val="458C9B4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75CDB"/>
    <w:multiLevelType w:val="hybridMultilevel"/>
    <w:tmpl w:val="2432FC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578F"/>
    <w:multiLevelType w:val="hybridMultilevel"/>
    <w:tmpl w:val="A40269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B6200"/>
    <w:multiLevelType w:val="hybridMultilevel"/>
    <w:tmpl w:val="DFA433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E55E6"/>
    <w:multiLevelType w:val="hybridMultilevel"/>
    <w:tmpl w:val="C6C886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85"/>
    <w:rsid w:val="006B26A5"/>
    <w:rsid w:val="006D4F85"/>
    <w:rsid w:val="00BB561F"/>
    <w:rsid w:val="00C54A04"/>
    <w:rsid w:val="00F6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B3FF4"/>
  <w15:chartTrackingRefBased/>
  <w15:docId w15:val="{CC96B8E0-0B36-4E07-AABA-1E94C842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4A04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04"/>
  </w:style>
  <w:style w:type="paragraph" w:styleId="Footer">
    <w:name w:val="footer"/>
    <w:basedOn w:val="Normal"/>
    <w:link w:val="FooterChar"/>
    <w:uiPriority w:val="99"/>
    <w:unhideWhenUsed/>
    <w:rsid w:val="00C54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859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cerasela</dc:creator>
  <cp:keywords/>
  <dc:description/>
  <cp:lastModifiedBy>cerasela</cp:lastModifiedBy>
  <cp:revision>3</cp:revision>
  <dcterms:created xsi:type="dcterms:W3CDTF">2019-06-23T09:47:00Z</dcterms:created>
  <dcterms:modified xsi:type="dcterms:W3CDTF">2020-02-19T12:39:00Z</dcterms:modified>
</cp:coreProperties>
</file>